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36"/>
          <w:szCs w:val="36"/>
          <w:lang w:val="en-US" w:eastAsia="zh-CN"/>
        </w:rPr>
        <w:t xml:space="preserve">  201</w:t>
      </w:r>
      <w:r>
        <w:rPr>
          <w:rFonts w:hint="eastAsia" w:asciiTheme="minorEastAsia" w:hAnsiTheme="minorEastAsia" w:cstheme="minorEastAsia"/>
          <w:b/>
          <w:color w:val="333333"/>
          <w:sz w:val="36"/>
          <w:szCs w:val="36"/>
          <w:lang w:val="en-US" w:eastAsia="zh-CN"/>
        </w:rPr>
        <w:t>9</w:t>
      </w:r>
      <w:r>
        <w:rPr>
          <w:rFonts w:hint="eastAsia" w:asciiTheme="minorEastAsia" w:hAnsiTheme="minorEastAsia" w:eastAsiaTheme="minorEastAsia" w:cstheme="minorEastAsia"/>
          <w:b/>
          <w:color w:val="333333"/>
          <w:sz w:val="36"/>
          <w:szCs w:val="36"/>
          <w:lang w:val="en-US" w:eastAsia="zh-CN"/>
        </w:rPr>
        <w:t>年度</w:t>
      </w:r>
      <w:r>
        <w:rPr>
          <w:rFonts w:hint="eastAsia" w:asciiTheme="minorEastAsia" w:hAnsiTheme="minorEastAsia" w:cstheme="minorEastAsia"/>
          <w:b/>
          <w:color w:val="333333"/>
          <w:sz w:val="36"/>
          <w:szCs w:val="36"/>
          <w:lang w:val="en-US" w:eastAsia="zh-CN"/>
        </w:rPr>
        <w:t>交通运输局</w:t>
      </w:r>
      <w:r>
        <w:rPr>
          <w:rFonts w:hint="eastAsia" w:asciiTheme="minorEastAsia" w:hAnsiTheme="minorEastAsia" w:eastAsiaTheme="minorEastAsia" w:cstheme="minorEastAsia"/>
          <w:b/>
          <w:color w:val="333333"/>
          <w:sz w:val="36"/>
          <w:szCs w:val="36"/>
          <w:lang w:val="en-US" w:eastAsia="zh-CN"/>
        </w:rPr>
        <w:t>决算文字说明</w:t>
      </w:r>
    </w:p>
    <w:p>
      <w:pPr>
        <w:pStyle w:val="2"/>
        <w:widowControl/>
        <w:spacing w:beforeAutospacing="0" w:afterAutospacing="0" w:line="640" w:lineRule="exact"/>
        <w:ind w:left="260"/>
        <w:rPr>
          <w:rFonts w:ascii="仿宋" w:hAnsi="仿宋" w:eastAsia="仿宋" w:cs="Times New Roman"/>
          <w:sz w:val="32"/>
          <w:szCs w:val="32"/>
        </w:rPr>
      </w:pPr>
      <w:r>
        <w:rPr>
          <w:rFonts w:hint="eastAsia" w:ascii="仿宋" w:hAnsi="仿宋" w:eastAsia="仿宋" w:cs="仿宋"/>
          <w:b/>
          <w:bCs/>
          <w:color w:val="333333"/>
          <w:sz w:val="32"/>
          <w:szCs w:val="32"/>
        </w:rPr>
        <w:t>第一部分</w:t>
      </w:r>
      <w:r>
        <w:rPr>
          <w:rFonts w:ascii="仿宋" w:hAnsi="仿宋" w:eastAsia="仿宋" w:cs="仿宋"/>
          <w:b/>
          <w:bCs/>
          <w:color w:val="333333"/>
          <w:sz w:val="32"/>
          <w:szCs w:val="32"/>
        </w:rPr>
        <w:t xml:space="preserve"> </w:t>
      </w:r>
      <w:r>
        <w:rPr>
          <w:rFonts w:hint="eastAsia" w:ascii="仿宋" w:hAnsi="仿宋" w:eastAsia="仿宋" w:cs="仿宋"/>
          <w:b/>
          <w:bCs/>
          <w:color w:val="333333"/>
          <w:sz w:val="32"/>
          <w:szCs w:val="32"/>
        </w:rPr>
        <w:t>部门概况</w:t>
      </w:r>
    </w:p>
    <w:p>
      <w:pPr>
        <w:pStyle w:val="2"/>
        <w:widowControl/>
        <w:spacing w:beforeAutospacing="0" w:afterAutospacing="0" w:line="640" w:lineRule="exact"/>
        <w:ind w:firstLine="426"/>
        <w:rPr>
          <w:rFonts w:ascii="仿宋" w:hAnsi="仿宋" w:eastAsia="仿宋" w:cs="Times New Roman"/>
          <w:b/>
          <w:sz w:val="32"/>
          <w:szCs w:val="32"/>
        </w:rPr>
      </w:pPr>
      <w:r>
        <w:rPr>
          <w:rFonts w:eastAsia="仿宋" w:cs="Times New Roman"/>
          <w:b/>
          <w:color w:val="333333"/>
          <w:sz w:val="32"/>
          <w:szCs w:val="32"/>
        </w:rPr>
        <w:t> </w:t>
      </w:r>
      <w:r>
        <w:rPr>
          <w:rFonts w:ascii="仿宋" w:hAnsi="仿宋" w:eastAsia="仿宋" w:cs="仿宋"/>
          <w:b/>
          <w:color w:val="333333"/>
          <w:sz w:val="32"/>
          <w:szCs w:val="32"/>
        </w:rPr>
        <w:t xml:space="preserve"> </w:t>
      </w:r>
      <w:r>
        <w:rPr>
          <w:rFonts w:hint="eastAsia" w:ascii="仿宋" w:hAnsi="仿宋" w:eastAsia="仿宋" w:cs="仿宋"/>
          <w:b/>
          <w:color w:val="333333"/>
          <w:sz w:val="32"/>
          <w:szCs w:val="32"/>
        </w:rPr>
        <w:t>一、主要职能</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（一）取消已由县政府公布取消的行政审批事项。</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（二）取消征收公路养路费、地方养路费、公路运输管理费、公路客运附加费职责。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（三）取消管理和指导公路交通治安工作职责。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（四）加强综合运输体系的规划协调职责，优化交通运输布局，促进各种运输方式相互衔接，加快形成便捷、通畅、高效、安全的综合运输体系。</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（五）加强统筹区域和城乡交通运输协调发展职责，优化发展公共交通，大力发展农村交通，加快推进城乡交通一体化。</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（六）增加水路行业管理职责。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（七）增加承担对城市公共汽车、出租汽车、汽车租赁等相关行业管理职责。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二、主要职责</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（一）承担全县综合运输体系的规划协调工作，会同有关部门组织编制综合运输体系规划，监督交通运输枢纽规划的组织实施和有关管理工作。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二）贯彻执行国家和省公路、水路行业发展战略、方针政策和法律法规；组织拟订公路、水路行业规章、规划，并监督实施；参与拟定物流业发展战略和规划并监督实施；指导公路、水路行业有关体制改革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（三）承担全县道路、水路运输市场监管责任。组织实施道路、水路运输有关政策、准入制度、技术标准和运营规范并监督实施；指导城乡客运及有关设施的规划和管理工作。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（四）负责全县客货运输、出租汽车、出入境汽车运输、汽车维修市场、汽车驾驶学校和驾驶员培训等运输服务行业管理。</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（五）承担公路、水路建设市场监管责任。拟订公路、水路工程建设相关制度、规定并监督执行；承担全县公路、水路建设工程的质量、安全生产、监督管理工作。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（六）组织交通重点工程建设、交通运输基础设施建设、战备路建设并强化监督管理和养护工作；承担国防动员有关工作。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（七）指导公路、水路行业安全生产和应急管理工作。依法组织或参与事故调查处理及水上救助打捞工作；组织协调重点物资和紧急客货运输；负责县内干线路网运行监测和协调工作。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（八）负责全县交通运输信息化建设，监测分析运行情况，开展相关统计工作，发布有关信息；组织开展各类、水路行业保护和节能减排工作；负责公路、水路对外合作与外事工作。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（九）负责全县道路和水路运输行政管理、公路行政管理、航道行政管理工作。</w:t>
      </w:r>
    </w:p>
    <w:p>
      <w:pPr>
        <w:spacing w:line="640" w:lineRule="exact"/>
        <w:ind w:firstLine="720" w:firstLineChars="225"/>
        <w:rPr>
          <w:rFonts w:ascii="仿宋" w:hAnsi="仿宋" w:eastAsia="仿宋" w:cs="Times New Roman"/>
          <w:sz w:val="32"/>
          <w:szCs w:val="32"/>
        </w:rPr>
      </w:pPr>
      <w:r>
        <w:rPr>
          <w:rFonts w:hint="eastAsia" w:ascii="仿宋" w:hAnsi="仿宋" w:eastAsia="仿宋" w:cs="仿宋"/>
          <w:sz w:val="32"/>
          <w:szCs w:val="32"/>
        </w:rPr>
        <w:t>（十）承办县政府交办的其他事项。</w:t>
      </w:r>
    </w:p>
    <w:p>
      <w:pPr>
        <w:spacing w:line="640" w:lineRule="exact"/>
        <w:ind w:firstLine="867" w:firstLineChars="270"/>
        <w:rPr>
          <w:rFonts w:ascii="仿宋" w:hAnsi="仿宋" w:eastAsia="仿宋" w:cs="Times New Roman"/>
          <w:b/>
          <w:sz w:val="32"/>
          <w:szCs w:val="32"/>
        </w:rPr>
      </w:pPr>
      <w:r>
        <w:rPr>
          <w:rFonts w:hint="eastAsia" w:ascii="仿宋" w:hAnsi="仿宋" w:eastAsia="仿宋" w:cs="仿宋"/>
          <w:b/>
          <w:color w:val="333333"/>
          <w:sz w:val="32"/>
          <w:szCs w:val="32"/>
        </w:rPr>
        <w:t>二、机构设置及部门决算单位构成</w:t>
      </w:r>
    </w:p>
    <w:p>
      <w:pPr>
        <w:pStyle w:val="2"/>
        <w:widowControl/>
        <w:spacing w:beforeAutospacing="0" w:afterAutospacing="0" w:line="640" w:lineRule="exact"/>
        <w:ind w:firstLine="864" w:firstLineChars="270"/>
        <w:rPr>
          <w:rFonts w:ascii="仿宋" w:hAnsi="仿宋" w:eastAsia="仿宋" w:cs="Times New Roman"/>
          <w:sz w:val="32"/>
          <w:szCs w:val="32"/>
        </w:rPr>
      </w:pPr>
      <w:r>
        <w:rPr>
          <w:rFonts w:hint="eastAsia" w:ascii="仿宋" w:hAnsi="仿宋" w:eastAsia="仿宋" w:cs="仿宋"/>
          <w:color w:val="333333"/>
          <w:sz w:val="32"/>
          <w:szCs w:val="32"/>
        </w:rPr>
        <w:t>为全额行政单位，内设</w:t>
      </w:r>
      <w:r>
        <w:rPr>
          <w:rFonts w:ascii="仿宋" w:hAnsi="仿宋" w:eastAsia="仿宋" w:cs="仿宋"/>
          <w:color w:val="333333"/>
          <w:sz w:val="32"/>
          <w:szCs w:val="32"/>
        </w:rPr>
        <w:t>4</w:t>
      </w:r>
      <w:r>
        <w:rPr>
          <w:rFonts w:hint="eastAsia" w:ascii="仿宋" w:hAnsi="仿宋" w:eastAsia="仿宋" w:cs="仿宋"/>
          <w:color w:val="333333"/>
          <w:sz w:val="32"/>
          <w:szCs w:val="32"/>
        </w:rPr>
        <w:t>个内设机构，为一级预算单位。</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（一）综合办公室</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负责会务、文电、信访、信息、文书等机关日常政务，联络接待、综合协调、督察督办等工作；承担机关和直属单位的机构编制、干部人事和劳动保障、奖惩考核工作；指导交通运输行业人才队伍建设工作；承担有关对外劳务合作工作；负责机关财务、资产管理，指导直属单位财务和国有资产保值增值并实施监督审计工作；对交通基本建设资金、直属单位资金、交通行业内部资金实施监督管理，承担机关并指导直属单位的党群、纪检等党务工作。</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（二）综合规划股（挂运输管理股牌子）</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负责制订交通运输行业发展规划和年度计划；参与拟订物流业发展战略和规划，提出有关规定和标准；指导交通基础设施建设和维护；承担建设项目、交通基础设施大修、技术改造立项和申报工作，参与审查交通重点工程可行性研究报告；承担交通基础设施建设市场管理；承担交通重点工程、大修工程建设监督管理、工程招标、施工许可、工程质量监督检查、工程造价和规定权限内的竣工验收工作。负责行业教育业务培训、科技项目研究推广、对外科技合作与交流以及目标管理工作；承担交通行业信息化建设和信息资源开发利用管理工作。</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拟订公路、水路安全生产规定和应急预案并监督实施；指导有关安全生产和突发应急处置体系建设；组织协调重点物资运输和紧急客货运输；依法组织或参与有关事故调查处理工作。承担运输行业安全生产监督管理工作；承担对城市公共汽车、出租汽车租赁等相关行业管理工作。</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（三）法制股</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组织研究全县公路、水路交通发展战略和产业政策；贯彻执行交通法规、规章；负责交通行业监督监察、行政执法、行政复议和行政应诉工作；负责交通行业法制和治理公路“三乱”工作，检查监督全县交通行业客运、货运、修理业主和经营者违规经营行为，监督涉及管理单位和稽查人员的执法政策、法规、规章工作；指导全县运输市场管理和整治工作；指导交通行业体制改革和行业节能减排工作。</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（四）交通战备办公室</w:t>
      </w:r>
    </w:p>
    <w:p>
      <w:pPr>
        <w:spacing w:line="640" w:lineRule="exact"/>
        <w:ind w:firstLine="707" w:firstLineChars="221"/>
        <w:rPr>
          <w:rFonts w:ascii="仿宋" w:hAnsi="仿宋" w:eastAsia="仿宋" w:cs="Times New Roman"/>
          <w:sz w:val="32"/>
          <w:szCs w:val="32"/>
        </w:rPr>
      </w:pPr>
      <w:r>
        <w:rPr>
          <w:rFonts w:hint="eastAsia" w:ascii="仿宋" w:hAnsi="仿宋" w:eastAsia="仿宋" w:cs="仿宋"/>
          <w:sz w:val="32"/>
          <w:szCs w:val="32"/>
        </w:rPr>
        <w:t>提出全县交通战备公路中、长期发展规划和年度计划；负责全县战备公路建设和养护工作的组织实施；负责公路交通战备物资的储备、调拨等工作。承担军地沟通协调、国防动员等有关工作。</w:t>
      </w:r>
    </w:p>
    <w:p>
      <w:pPr>
        <w:pStyle w:val="2"/>
        <w:keepNext w:val="0"/>
        <w:keepLines w:val="0"/>
        <w:widowControl/>
        <w:numPr>
          <w:ilvl w:val="0"/>
          <w:numId w:val="1"/>
        </w:numPr>
        <w:suppressLineNumbers w:val="0"/>
        <w:shd w:val="clear" w:fill="FFFFFF"/>
        <w:spacing w:before="180" w:beforeAutospacing="0" w:after="360" w:afterAutospacing="0" w:line="360" w:lineRule="atLeast"/>
        <w:ind w:left="1200" w:leftChars="0" w:right="0" w:firstLine="0" w:firstLineChars="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人员构成</w:t>
      </w:r>
    </w:p>
    <w:p>
      <w:pPr>
        <w:pStyle w:val="2"/>
        <w:keepNext w:val="0"/>
        <w:keepLines w:val="0"/>
        <w:widowControl/>
        <w:numPr>
          <w:ilvl w:val="0"/>
          <w:numId w:val="0"/>
        </w:numPr>
        <w:suppressLineNumbers w:val="0"/>
        <w:shd w:val="clear" w:fill="FFFFFF"/>
        <w:spacing w:before="180" w:beforeAutospacing="0" w:after="360" w:afterAutospacing="0" w:line="360" w:lineRule="atLeast"/>
        <w:ind w:right="0" w:rightChars="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23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15</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6563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4494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-2.42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2926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6563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6563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4494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4.07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4311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95.93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4494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-2.42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4494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2926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186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4494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2926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186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4494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0.45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0.11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4494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项目支出年初未能及时纳入预算。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49</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183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w:t>
      </w:r>
      <w:r>
        <w:rPr>
          <w:rFonts w:hint="eastAsia" w:asciiTheme="minorEastAsia" w:hAnsiTheme="minorEastAsia" w:cstheme="minorEastAsia"/>
          <w:color w:val="333333"/>
          <w:sz w:val="28"/>
          <w:szCs w:val="28"/>
          <w:lang w:val="en-US" w:eastAsia="zh-CN"/>
        </w:rPr>
        <w:t>129</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11.35</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人员调整</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bookmarkStart w:id="0" w:name="_GoBack"/>
      <w:bookmarkEnd w:id="0"/>
      <w:r>
        <w:rPr>
          <w:rFonts w:hint="eastAsia" w:asciiTheme="minorEastAsia" w:hAnsiTheme="minorEastAsia" w:eastAsiaTheme="minorEastAsia" w:cstheme="minorEastAsia"/>
          <w:color w:val="333333"/>
          <w:sz w:val="28"/>
          <w:szCs w:val="28"/>
        </w:rPr>
        <w:t>、政府采购服务支出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8317</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2019农村公路建设项目、路网改善工程建设项目</w:t>
      </w:r>
      <w:r>
        <w:rPr>
          <w:rFonts w:hint="eastAsia" w:asciiTheme="minorEastAsia" w:hAnsiTheme="minorEastAsia" w:eastAsiaTheme="minorEastAsia" w:cstheme="minorEastAsia"/>
          <w:color w:val="333333"/>
          <w:sz w:val="28"/>
          <w:szCs w:val="28"/>
        </w:rPr>
        <w:t xml:space="preserve">”等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 xml:space="preserve"> 个项目进行了绩效评价，共涉及资金</w:t>
      </w:r>
      <w:r>
        <w:rPr>
          <w:rFonts w:hint="eastAsia" w:asciiTheme="minorEastAsia" w:hAnsiTheme="minorEastAsia" w:cstheme="minorEastAsia"/>
          <w:color w:val="333333"/>
          <w:sz w:val="28"/>
          <w:szCs w:val="28"/>
          <w:lang w:val="en-US" w:eastAsia="zh-CN"/>
        </w:rPr>
        <w:t>8317</w:t>
      </w:r>
      <w:r>
        <w:rPr>
          <w:rFonts w:hint="eastAsia" w:asciiTheme="minorEastAsia" w:hAnsiTheme="minorEastAsia" w:eastAsiaTheme="minorEastAsia" w:cstheme="minorEastAsia"/>
          <w:color w:val="333333"/>
          <w:sz w:val="28"/>
          <w:szCs w:val="28"/>
        </w:rPr>
        <w:t>万元。从评价情况来看，本部门共开展了</w:t>
      </w:r>
      <w:r>
        <w:rPr>
          <w:rFonts w:hint="eastAsia" w:ascii="宋体" w:hAnsi="宋体"/>
          <w:sz w:val="28"/>
          <w:szCs w:val="28"/>
        </w:rPr>
        <w:t>2019年农村公路路网改善工程连生至迎春公路工程</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066F8D"/>
    <w:multiLevelType w:val="singleLevel"/>
    <w:tmpl w:val="92066F8D"/>
    <w:lvl w:ilvl="0" w:tentative="0">
      <w:start w:val="3"/>
      <w:numFmt w:val="chineseCounting"/>
      <w:suff w:val="nothing"/>
      <w:lvlText w:val="%1、"/>
      <w:lvlJc w:val="left"/>
      <w:pPr>
        <w:ind w:left="120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37C694C"/>
    <w:rsid w:val="179B676B"/>
    <w:rsid w:val="1A1F65C5"/>
    <w:rsid w:val="1CFB22BC"/>
    <w:rsid w:val="2A054FEB"/>
    <w:rsid w:val="2A25238B"/>
    <w:rsid w:val="2DE7389C"/>
    <w:rsid w:val="3964752F"/>
    <w:rsid w:val="3DDC6AB6"/>
    <w:rsid w:val="3E7434E4"/>
    <w:rsid w:val="3F98625C"/>
    <w:rsid w:val="419008B3"/>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cp:lastPrinted>2020-09-30T06:50:00Z</cp:lastPrinted>
  <dcterms:modified xsi:type="dcterms:W3CDTF">2020-10-09T02:06:46Z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